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3F" w:rsidRPr="004D525D" w:rsidRDefault="0090493F" w:rsidP="0090493F">
      <w:pPr>
        <w:pStyle w:val="Heading2"/>
        <w:pageBreakBefore/>
        <w:rPr>
          <w:rFonts w:eastAsia="Times New Roman"/>
        </w:rPr>
      </w:pPr>
      <w:bookmarkStart w:id="0" w:name="_GoBack"/>
      <w:bookmarkEnd w:id="0"/>
      <w:r w:rsidRPr="004D525D">
        <w:rPr>
          <w:rFonts w:eastAsia="Times New Roman"/>
        </w:rPr>
        <w:t>Attachment 4.11(c</w:t>
      </w:r>
      <w:proofErr w:type="gramStart"/>
      <w:r w:rsidRPr="004D525D">
        <w:rPr>
          <w:rFonts w:eastAsia="Times New Roman"/>
        </w:rPr>
        <w:t>)(</w:t>
      </w:r>
      <w:proofErr w:type="gramEnd"/>
      <w:r w:rsidRPr="004D525D">
        <w:rPr>
          <w:rFonts w:eastAsia="Times New Roman"/>
        </w:rPr>
        <w:t>1) State Goals and Priorities</w:t>
      </w:r>
    </w:p>
    <w:p w:rsidR="0090493F" w:rsidRPr="004D525D" w:rsidRDefault="0090493F" w:rsidP="0090493F">
      <w:pPr>
        <w:pStyle w:val="NormalWeb"/>
        <w:rPr>
          <w:sz w:val="36"/>
          <w:szCs w:val="36"/>
        </w:rPr>
      </w:pPr>
      <w:r w:rsidRPr="004D525D">
        <w:rPr>
          <w:sz w:val="36"/>
          <w:szCs w:val="36"/>
        </w:rPr>
        <w:t>The goals and priorities are based on the comprehensive statewide assessment, on requirements related to the performance standards and indicators, and on other information about the state agency. (See section 101(a</w:t>
      </w:r>
      <w:proofErr w:type="gramStart"/>
      <w:r w:rsidRPr="004D525D">
        <w:rPr>
          <w:sz w:val="36"/>
          <w:szCs w:val="36"/>
        </w:rPr>
        <w:t>)(</w:t>
      </w:r>
      <w:proofErr w:type="gramEnd"/>
      <w:r w:rsidRPr="004D525D">
        <w:rPr>
          <w:sz w:val="36"/>
          <w:szCs w:val="36"/>
        </w:rPr>
        <w:t>15)(C) of the Act.) This attachment should be updated when there are material changes in the information that require the description to be amended.</w:t>
      </w:r>
    </w:p>
    <w:p w:rsidR="0090493F" w:rsidRPr="004D525D" w:rsidRDefault="0090493F" w:rsidP="0090493F">
      <w:pPr>
        <w:numPr>
          <w:ilvl w:val="0"/>
          <w:numId w:val="1"/>
        </w:numPr>
        <w:spacing w:before="100" w:beforeAutospacing="1" w:after="100" w:afterAutospacing="1"/>
        <w:rPr>
          <w:rFonts w:eastAsia="Times New Roman"/>
          <w:sz w:val="36"/>
          <w:szCs w:val="36"/>
        </w:rPr>
      </w:pPr>
      <w:r w:rsidRPr="004D525D">
        <w:rPr>
          <w:rFonts w:eastAsia="Times New Roman"/>
          <w:sz w:val="36"/>
          <w:szCs w:val="36"/>
        </w:rPr>
        <w:t>Identify if the goals and priorities were jointly developed and agreed to by the state VR agency and the State Rehabilitation Council, if the state has a council.</w:t>
      </w:r>
    </w:p>
    <w:p w:rsidR="0090493F" w:rsidRPr="004D525D" w:rsidRDefault="0090493F" w:rsidP="0090493F">
      <w:pPr>
        <w:numPr>
          <w:ilvl w:val="0"/>
          <w:numId w:val="1"/>
        </w:numPr>
        <w:spacing w:before="100" w:beforeAutospacing="1" w:after="100" w:afterAutospacing="1"/>
        <w:rPr>
          <w:rFonts w:eastAsia="Times New Roman"/>
          <w:sz w:val="36"/>
          <w:szCs w:val="36"/>
        </w:rPr>
      </w:pPr>
      <w:r w:rsidRPr="004D525D">
        <w:rPr>
          <w:rFonts w:eastAsia="Times New Roman"/>
          <w:sz w:val="36"/>
          <w:szCs w:val="36"/>
        </w:rPr>
        <w:t>Identify if the state VR agency and the State Rehabilitation Council, if the state has such a council, jointly reviewed the goals and priorities and jointly agreed to any revisions.</w:t>
      </w:r>
    </w:p>
    <w:p w:rsidR="0090493F" w:rsidRPr="004D525D" w:rsidRDefault="0090493F" w:rsidP="0090493F">
      <w:pPr>
        <w:numPr>
          <w:ilvl w:val="0"/>
          <w:numId w:val="1"/>
        </w:numPr>
        <w:spacing w:before="100" w:beforeAutospacing="1" w:after="100" w:afterAutospacing="1"/>
        <w:rPr>
          <w:rFonts w:eastAsia="Times New Roman"/>
          <w:sz w:val="36"/>
          <w:szCs w:val="36"/>
        </w:rPr>
      </w:pPr>
      <w:r w:rsidRPr="004D525D">
        <w:rPr>
          <w:rFonts w:eastAsia="Times New Roman"/>
          <w:sz w:val="36"/>
          <w:szCs w:val="36"/>
        </w:rPr>
        <w:t>Identify the goals and priorities in carrying out the vocational rehabilitation and supported employment programs.</w:t>
      </w:r>
    </w:p>
    <w:p w:rsidR="0090493F" w:rsidRPr="004D525D" w:rsidRDefault="0090493F" w:rsidP="0090493F">
      <w:pPr>
        <w:numPr>
          <w:ilvl w:val="0"/>
          <w:numId w:val="1"/>
        </w:numPr>
        <w:spacing w:before="100" w:beforeAutospacing="1" w:after="100" w:afterAutospacing="1"/>
        <w:rPr>
          <w:rFonts w:eastAsia="Times New Roman"/>
          <w:sz w:val="36"/>
          <w:szCs w:val="36"/>
        </w:rPr>
      </w:pPr>
      <w:r w:rsidRPr="004D525D">
        <w:rPr>
          <w:rFonts w:eastAsia="Times New Roman"/>
          <w:sz w:val="36"/>
          <w:szCs w:val="36"/>
        </w:rPr>
        <w:t>Ensure that the goals and priorities are based on an analysis of the following areas:</w:t>
      </w:r>
    </w:p>
    <w:p w:rsidR="0090493F" w:rsidRPr="004D525D" w:rsidRDefault="0090493F" w:rsidP="0090493F">
      <w:pPr>
        <w:numPr>
          <w:ilvl w:val="1"/>
          <w:numId w:val="1"/>
        </w:numPr>
        <w:spacing w:before="100" w:beforeAutospacing="1" w:after="100" w:afterAutospacing="1"/>
        <w:rPr>
          <w:rFonts w:eastAsia="Times New Roman"/>
          <w:sz w:val="36"/>
          <w:szCs w:val="36"/>
        </w:rPr>
      </w:pPr>
      <w:r w:rsidRPr="004D525D">
        <w:rPr>
          <w:rFonts w:eastAsia="Times New Roman"/>
          <w:sz w:val="36"/>
          <w:szCs w:val="36"/>
        </w:rPr>
        <w:t>the most recent comprehensive statewide assessment, including any updates;</w:t>
      </w:r>
    </w:p>
    <w:p w:rsidR="0090493F" w:rsidRPr="004D525D" w:rsidRDefault="0090493F" w:rsidP="0090493F">
      <w:pPr>
        <w:numPr>
          <w:ilvl w:val="1"/>
          <w:numId w:val="1"/>
        </w:numPr>
        <w:spacing w:before="100" w:beforeAutospacing="1" w:after="100" w:afterAutospacing="1"/>
        <w:rPr>
          <w:rFonts w:eastAsia="Times New Roman"/>
          <w:sz w:val="36"/>
          <w:szCs w:val="36"/>
        </w:rPr>
      </w:pPr>
      <w:r w:rsidRPr="004D525D">
        <w:rPr>
          <w:rFonts w:eastAsia="Times New Roman"/>
          <w:sz w:val="36"/>
          <w:szCs w:val="36"/>
        </w:rPr>
        <w:t>the performance of the state on standards and indicators; and</w:t>
      </w:r>
    </w:p>
    <w:p w:rsidR="0090493F" w:rsidRPr="004D525D" w:rsidRDefault="0090493F" w:rsidP="0090493F">
      <w:pPr>
        <w:numPr>
          <w:ilvl w:val="1"/>
          <w:numId w:val="1"/>
        </w:numPr>
        <w:spacing w:before="100" w:beforeAutospacing="1" w:after="100" w:afterAutospacing="1"/>
        <w:rPr>
          <w:rFonts w:eastAsia="Times New Roman"/>
          <w:sz w:val="36"/>
          <w:szCs w:val="36"/>
        </w:rPr>
      </w:pPr>
      <w:proofErr w:type="gramStart"/>
      <w:r w:rsidRPr="004D525D">
        <w:rPr>
          <w:rFonts w:eastAsia="Times New Roman"/>
          <w:sz w:val="36"/>
          <w:szCs w:val="36"/>
        </w:rPr>
        <w:t>other</w:t>
      </w:r>
      <w:proofErr w:type="gramEnd"/>
      <w:r w:rsidRPr="004D525D">
        <w:rPr>
          <w:rFonts w:eastAsia="Times New Roman"/>
          <w:sz w:val="36"/>
          <w:szCs w:val="36"/>
        </w:rPr>
        <w:t xml:space="preserve"> available information on the operation and effectiveness of the VR program, including any reports received from the State Rehabilitation Council and findings and recommendations from monitoring activities conducted under section 107.</w:t>
      </w:r>
    </w:p>
    <w:p w:rsidR="0090493F" w:rsidRPr="004D525D" w:rsidRDefault="0090493F" w:rsidP="0090493F">
      <w:pPr>
        <w:pStyle w:val="NormalWeb"/>
        <w:rPr>
          <w:sz w:val="36"/>
          <w:szCs w:val="36"/>
        </w:rPr>
      </w:pPr>
      <w:r w:rsidRPr="004D525D">
        <w:rPr>
          <w:sz w:val="36"/>
          <w:szCs w:val="36"/>
        </w:rPr>
        <w:lastRenderedPageBreak/>
        <w:t xml:space="preserve">The goals and priorities were jointly developed, reviewed, revised and agreed upon by DVR and the State Rehabilitation Council (SRC). </w:t>
      </w:r>
    </w:p>
    <w:p w:rsidR="0090493F" w:rsidRPr="004D525D" w:rsidRDefault="0090493F" w:rsidP="0090493F">
      <w:pPr>
        <w:pStyle w:val="NormalWeb"/>
        <w:rPr>
          <w:sz w:val="36"/>
          <w:szCs w:val="36"/>
        </w:rPr>
      </w:pPr>
      <w:r w:rsidRPr="004D525D">
        <w:rPr>
          <w:sz w:val="36"/>
          <w:szCs w:val="36"/>
        </w:rPr>
        <w:t>The following priorities and goals were developed based upon SRC reports, monitoring activities, results of our needs assessments, performance on standards and indicators, as well as other available information.</w:t>
      </w:r>
    </w:p>
    <w:p w:rsidR="0090493F" w:rsidRPr="004D525D" w:rsidRDefault="0090493F" w:rsidP="0090493F">
      <w:pPr>
        <w:pStyle w:val="NormalWeb"/>
        <w:rPr>
          <w:sz w:val="36"/>
          <w:szCs w:val="36"/>
        </w:rPr>
      </w:pPr>
      <w:r w:rsidRPr="004D525D">
        <w:rPr>
          <w:b/>
          <w:sz w:val="36"/>
          <w:szCs w:val="36"/>
        </w:rPr>
        <w:t>Priority 1:</w:t>
      </w:r>
      <w:r w:rsidRPr="004D525D">
        <w:rPr>
          <w:sz w:val="36"/>
          <w:szCs w:val="36"/>
        </w:rPr>
        <w:t xml:space="preserve">  To assist eligible individuals in reaching their full potential by providing quality VR services </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1.1  To</w:t>
      </w:r>
      <w:proofErr w:type="gramEnd"/>
      <w:r w:rsidRPr="004D525D">
        <w:rPr>
          <w:sz w:val="36"/>
          <w:szCs w:val="36"/>
        </w:rPr>
        <w:t xml:space="preserve"> increase the number of employment outcomes by 1 or more. </w:t>
      </w:r>
    </w:p>
    <w:p w:rsidR="0090493F" w:rsidRPr="004D525D" w:rsidRDefault="0090493F" w:rsidP="0090493F">
      <w:pPr>
        <w:pStyle w:val="NormalWeb"/>
        <w:rPr>
          <w:sz w:val="36"/>
          <w:szCs w:val="36"/>
        </w:rPr>
      </w:pPr>
      <w:r w:rsidRPr="004D525D">
        <w:rPr>
          <w:sz w:val="36"/>
          <w:szCs w:val="36"/>
        </w:rPr>
        <w:t xml:space="preserve">Baseline:  In FY 2012 we achieved 235 rehabilitations </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1.2  To</w:t>
      </w:r>
      <w:proofErr w:type="gramEnd"/>
      <w:r w:rsidRPr="004D525D">
        <w:rPr>
          <w:sz w:val="36"/>
          <w:szCs w:val="36"/>
        </w:rPr>
        <w:t xml:space="preserve"> increase the average hourly wage for rehabilitants </w:t>
      </w:r>
    </w:p>
    <w:p w:rsidR="0090493F" w:rsidRPr="004D525D" w:rsidRDefault="0090493F" w:rsidP="0090493F">
      <w:pPr>
        <w:pStyle w:val="NormalWeb"/>
        <w:rPr>
          <w:sz w:val="36"/>
          <w:szCs w:val="36"/>
        </w:rPr>
      </w:pPr>
      <w:r w:rsidRPr="004D525D">
        <w:rPr>
          <w:sz w:val="36"/>
          <w:szCs w:val="36"/>
        </w:rPr>
        <w:t>Baseline:  In FY2012 we achieved an average hourly wage of $13.11</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1.3  To</w:t>
      </w:r>
      <w:proofErr w:type="gramEnd"/>
      <w:r w:rsidRPr="004D525D">
        <w:rPr>
          <w:sz w:val="36"/>
          <w:szCs w:val="36"/>
        </w:rPr>
        <w:t xml:space="preserve"> increase the number of hours worked per week </w:t>
      </w:r>
    </w:p>
    <w:p w:rsidR="0090493F" w:rsidRPr="004D525D" w:rsidRDefault="0090493F" w:rsidP="0090493F">
      <w:pPr>
        <w:pStyle w:val="NormalWeb"/>
        <w:rPr>
          <w:sz w:val="36"/>
          <w:szCs w:val="36"/>
        </w:rPr>
      </w:pPr>
      <w:r w:rsidRPr="004D525D">
        <w:rPr>
          <w:sz w:val="36"/>
          <w:szCs w:val="36"/>
        </w:rPr>
        <w:t xml:space="preserve">Baseline:  In FY2012 we achieved 31 hours per week </w:t>
      </w:r>
    </w:p>
    <w:p w:rsidR="0090493F" w:rsidRPr="004D525D" w:rsidRDefault="0090493F" w:rsidP="0090493F">
      <w:pPr>
        <w:rPr>
          <w:sz w:val="36"/>
          <w:szCs w:val="36"/>
        </w:rPr>
      </w:pPr>
      <w:r w:rsidRPr="004D525D">
        <w:rPr>
          <w:sz w:val="36"/>
          <w:szCs w:val="36"/>
        </w:rPr>
        <w:br w:type="page"/>
      </w:r>
    </w:p>
    <w:p w:rsidR="0090493F" w:rsidRPr="004D525D" w:rsidRDefault="0090493F" w:rsidP="0090493F">
      <w:pPr>
        <w:pStyle w:val="NormalWeb"/>
        <w:rPr>
          <w:sz w:val="36"/>
          <w:szCs w:val="36"/>
        </w:rPr>
      </w:pPr>
      <w:r w:rsidRPr="004D525D">
        <w:rPr>
          <w:sz w:val="36"/>
          <w:szCs w:val="36"/>
        </w:rPr>
        <w:lastRenderedPageBreak/>
        <w:t xml:space="preserve">Goal </w:t>
      </w:r>
      <w:proofErr w:type="gramStart"/>
      <w:r w:rsidRPr="004D525D">
        <w:rPr>
          <w:sz w:val="36"/>
          <w:szCs w:val="36"/>
        </w:rPr>
        <w:t>1.4  To</w:t>
      </w:r>
      <w:proofErr w:type="gramEnd"/>
      <w:r w:rsidRPr="004D525D">
        <w:rPr>
          <w:sz w:val="36"/>
          <w:szCs w:val="36"/>
        </w:rPr>
        <w:t xml:space="preserve"> increase the number of clients participating in work experiences </w:t>
      </w:r>
    </w:p>
    <w:p w:rsidR="0090493F" w:rsidRPr="004D525D" w:rsidRDefault="0090493F" w:rsidP="0090493F">
      <w:pPr>
        <w:pStyle w:val="NormalWeb"/>
        <w:rPr>
          <w:sz w:val="36"/>
          <w:szCs w:val="36"/>
        </w:rPr>
      </w:pPr>
      <w:r w:rsidRPr="004D525D">
        <w:rPr>
          <w:sz w:val="36"/>
          <w:szCs w:val="36"/>
        </w:rPr>
        <w:t xml:space="preserve">Baseline:  In FY2011 we defined and set procedures to capture an annual figure of all populations in work experiences. </w:t>
      </w:r>
    </w:p>
    <w:p w:rsidR="0090493F" w:rsidRPr="004D525D" w:rsidRDefault="0090493F" w:rsidP="0090493F">
      <w:pPr>
        <w:pStyle w:val="NormalWeb"/>
        <w:rPr>
          <w:sz w:val="36"/>
          <w:szCs w:val="36"/>
        </w:rPr>
      </w:pPr>
      <w:r w:rsidRPr="004D525D">
        <w:rPr>
          <w:sz w:val="36"/>
          <w:szCs w:val="36"/>
        </w:rPr>
        <w:t xml:space="preserve">In FY2012 we achieved 390 clients participating in summer work experiences. </w:t>
      </w:r>
    </w:p>
    <w:p w:rsidR="0090493F" w:rsidRPr="004D525D" w:rsidRDefault="0090493F" w:rsidP="0090493F">
      <w:pPr>
        <w:pStyle w:val="NormalWeb"/>
        <w:rPr>
          <w:sz w:val="36"/>
          <w:szCs w:val="36"/>
        </w:rPr>
      </w:pPr>
      <w:r w:rsidRPr="004D525D">
        <w:rPr>
          <w:b/>
          <w:sz w:val="36"/>
          <w:szCs w:val="36"/>
        </w:rPr>
        <w:t>Priority 2:</w:t>
      </w:r>
      <w:r w:rsidRPr="004D525D">
        <w:rPr>
          <w:sz w:val="36"/>
          <w:szCs w:val="36"/>
        </w:rPr>
        <w:t xml:space="preserve">  To increase quality of services for Transition Aged Youths (TAYs)</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2.1  To</w:t>
      </w:r>
      <w:proofErr w:type="gramEnd"/>
      <w:r w:rsidRPr="004D525D">
        <w:rPr>
          <w:sz w:val="36"/>
          <w:szCs w:val="36"/>
        </w:rPr>
        <w:t xml:space="preserve"> increase the number of employment outcomes of TAYs by 1 or more. </w:t>
      </w:r>
    </w:p>
    <w:p w:rsidR="0090493F" w:rsidRPr="004D525D" w:rsidRDefault="0090493F" w:rsidP="0090493F">
      <w:pPr>
        <w:pStyle w:val="NormalWeb"/>
        <w:rPr>
          <w:sz w:val="36"/>
          <w:szCs w:val="36"/>
        </w:rPr>
      </w:pPr>
      <w:r w:rsidRPr="004D525D">
        <w:rPr>
          <w:sz w:val="36"/>
          <w:szCs w:val="36"/>
        </w:rPr>
        <w:t xml:space="preserve">Baseline:  In FY2012 we achieved 94 rehabilitations for transition aged youth and young adults </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2.2  To</w:t>
      </w:r>
      <w:proofErr w:type="gramEnd"/>
      <w:r w:rsidRPr="004D525D">
        <w:rPr>
          <w:sz w:val="36"/>
          <w:szCs w:val="36"/>
        </w:rPr>
        <w:t xml:space="preserve"> increase the average hourly wage for rehabilitees TAYs </w:t>
      </w:r>
    </w:p>
    <w:p w:rsidR="0090493F" w:rsidRPr="004D525D" w:rsidRDefault="0090493F" w:rsidP="0090493F">
      <w:pPr>
        <w:pStyle w:val="NormalWeb"/>
        <w:rPr>
          <w:sz w:val="36"/>
          <w:szCs w:val="36"/>
        </w:rPr>
      </w:pPr>
      <w:r w:rsidRPr="004D525D">
        <w:rPr>
          <w:sz w:val="36"/>
          <w:szCs w:val="36"/>
        </w:rPr>
        <w:t>Baseline:  In FY2012 we achieved an average hourly wage of $9.82 for transition aged youth and young adults</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2.3  To</w:t>
      </w:r>
      <w:proofErr w:type="gramEnd"/>
      <w:r w:rsidRPr="004D525D">
        <w:rPr>
          <w:sz w:val="36"/>
          <w:szCs w:val="36"/>
        </w:rPr>
        <w:t xml:space="preserve"> increase the number of hours worked per week by TAYs </w:t>
      </w:r>
    </w:p>
    <w:p w:rsidR="0090493F" w:rsidRPr="004D525D" w:rsidRDefault="0090493F" w:rsidP="0090493F">
      <w:pPr>
        <w:pStyle w:val="NormalWeb"/>
        <w:rPr>
          <w:sz w:val="36"/>
          <w:szCs w:val="36"/>
        </w:rPr>
      </w:pPr>
      <w:r w:rsidRPr="004D525D">
        <w:rPr>
          <w:sz w:val="36"/>
          <w:szCs w:val="36"/>
        </w:rPr>
        <w:t>Baseline:  In FY2012 we achieved 30.21 hours worked per week for transition aged youth and young adults</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2.4  To</w:t>
      </w:r>
      <w:proofErr w:type="gramEnd"/>
      <w:r w:rsidRPr="004D525D">
        <w:rPr>
          <w:sz w:val="36"/>
          <w:szCs w:val="36"/>
        </w:rPr>
        <w:t xml:space="preserve"> increase the number of TAYs participating in work experiences </w:t>
      </w:r>
    </w:p>
    <w:p w:rsidR="0090493F" w:rsidRPr="004D525D" w:rsidRDefault="0090493F" w:rsidP="0090493F">
      <w:pPr>
        <w:pStyle w:val="NormalWeb"/>
        <w:rPr>
          <w:sz w:val="36"/>
          <w:szCs w:val="36"/>
        </w:rPr>
      </w:pPr>
      <w:r w:rsidRPr="004D525D">
        <w:rPr>
          <w:sz w:val="36"/>
          <w:szCs w:val="36"/>
        </w:rPr>
        <w:lastRenderedPageBreak/>
        <w:t>Baseline:  In FY2012 we placed 390 TAY’s in work experiences.</w:t>
      </w:r>
    </w:p>
    <w:p w:rsidR="0090493F" w:rsidRPr="004D525D" w:rsidRDefault="0090493F" w:rsidP="0090493F">
      <w:pPr>
        <w:pStyle w:val="NormalWeb"/>
        <w:rPr>
          <w:sz w:val="36"/>
          <w:szCs w:val="36"/>
        </w:rPr>
      </w:pPr>
      <w:r w:rsidRPr="004D525D">
        <w:rPr>
          <w:b/>
          <w:sz w:val="36"/>
          <w:szCs w:val="36"/>
        </w:rPr>
        <w:t>Priority 3:</w:t>
      </w:r>
      <w:r w:rsidRPr="004D525D">
        <w:rPr>
          <w:sz w:val="36"/>
          <w:szCs w:val="36"/>
        </w:rPr>
        <w:t xml:space="preserve">  Develop work plans to establish and operate a Comprehensive Service Center (CSC), formerly known as the Comprehensive Deaf Center (CDC). </w:t>
      </w:r>
    </w:p>
    <w:p w:rsidR="0090493F" w:rsidRPr="004D525D" w:rsidRDefault="0090493F" w:rsidP="0090493F">
      <w:pPr>
        <w:pStyle w:val="NormalWeb"/>
        <w:rPr>
          <w:sz w:val="36"/>
          <w:szCs w:val="36"/>
        </w:rPr>
      </w:pPr>
      <w:r w:rsidRPr="004D525D">
        <w:rPr>
          <w:sz w:val="36"/>
          <w:szCs w:val="36"/>
        </w:rPr>
        <w:t>Baseline:  A CSNA appendix of data collected specific to the needs of the deaf, hard of hearing and deaf-blind population was completed and submitted to RSA in October of 2012.</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3.1  Engage</w:t>
      </w:r>
      <w:proofErr w:type="gramEnd"/>
      <w:r w:rsidRPr="004D525D">
        <w:rPr>
          <w:sz w:val="36"/>
          <w:szCs w:val="36"/>
        </w:rPr>
        <w:t xml:space="preserve"> community organizations and interested individuals in planning and designing the delivery of services to be described in the business and implementation plan. </w:t>
      </w:r>
    </w:p>
    <w:p w:rsidR="0090493F" w:rsidRPr="004D525D" w:rsidRDefault="0090493F" w:rsidP="0090493F">
      <w:pPr>
        <w:pStyle w:val="NormalWeb"/>
        <w:rPr>
          <w:sz w:val="36"/>
          <w:szCs w:val="36"/>
        </w:rPr>
      </w:pPr>
      <w:r w:rsidRPr="004D525D">
        <w:rPr>
          <w:sz w:val="36"/>
          <w:szCs w:val="36"/>
        </w:rPr>
        <w:t xml:space="preserve">Baseline:  Initial discussion of the plan by the University of Hawaii, Kapiolani Community College was initiated to the Deaf and Hard of Hearing Advisory Board and the State Rehabilitation Council starting in January 2012.  The stakeholders continue to work with DVR for the development of a CSC. </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3.2  Complete</w:t>
      </w:r>
      <w:proofErr w:type="gramEnd"/>
      <w:r w:rsidRPr="004D525D">
        <w:rPr>
          <w:sz w:val="36"/>
          <w:szCs w:val="36"/>
        </w:rPr>
        <w:t xml:space="preserve"> the development of a business and implementation plan to establish and operate the CSC.</w:t>
      </w:r>
    </w:p>
    <w:p w:rsidR="0090493F" w:rsidRPr="004D525D" w:rsidRDefault="0090493F" w:rsidP="0090493F">
      <w:pPr>
        <w:autoSpaceDE w:val="0"/>
        <w:autoSpaceDN w:val="0"/>
        <w:adjustRightInd w:val="0"/>
        <w:rPr>
          <w:sz w:val="36"/>
          <w:szCs w:val="36"/>
        </w:rPr>
      </w:pPr>
      <w:r w:rsidRPr="004D525D">
        <w:rPr>
          <w:sz w:val="36"/>
          <w:szCs w:val="36"/>
        </w:rPr>
        <w:t xml:space="preserve">Baseline:  </w:t>
      </w:r>
      <w:r w:rsidRPr="004D525D">
        <w:rPr>
          <w:rFonts w:eastAsia="Times New Roman"/>
          <w:color w:val="000000"/>
          <w:sz w:val="36"/>
          <w:szCs w:val="36"/>
        </w:rPr>
        <w:t>The minimum service requirements are those services needed for DVR clients to increase their basic mathematics, English, communication and technological skills to levels that will enable them to participate in secondary training.  Additional services to increase independence and full integration in society for DVR clients and other deaf, hard of hearing and deaf-blind individuals will be provided.</w:t>
      </w:r>
    </w:p>
    <w:p w:rsidR="0090493F" w:rsidRPr="004D525D" w:rsidRDefault="0090493F" w:rsidP="0090493F">
      <w:pPr>
        <w:pStyle w:val="NormalWeb"/>
        <w:rPr>
          <w:sz w:val="36"/>
          <w:szCs w:val="36"/>
        </w:rPr>
      </w:pPr>
      <w:r w:rsidRPr="004D525D">
        <w:rPr>
          <w:sz w:val="36"/>
          <w:szCs w:val="36"/>
        </w:rPr>
        <w:lastRenderedPageBreak/>
        <w:t xml:space="preserve">Goal </w:t>
      </w:r>
      <w:proofErr w:type="gramStart"/>
      <w:r w:rsidRPr="004D525D">
        <w:rPr>
          <w:sz w:val="36"/>
          <w:szCs w:val="36"/>
        </w:rPr>
        <w:t>3.3  Obtain</w:t>
      </w:r>
      <w:proofErr w:type="gramEnd"/>
      <w:r w:rsidRPr="004D525D">
        <w:rPr>
          <w:sz w:val="36"/>
          <w:szCs w:val="36"/>
        </w:rPr>
        <w:t xml:space="preserve"> technical assistance to ensure that DVR funds will be expended in accordance with Federal Regulations as stipulated in the Rehabilitation Act of 1973 as amended.</w:t>
      </w:r>
    </w:p>
    <w:p w:rsidR="0090493F" w:rsidRPr="004D525D" w:rsidRDefault="0090493F" w:rsidP="0090493F">
      <w:pPr>
        <w:pStyle w:val="NormalWeb"/>
        <w:rPr>
          <w:sz w:val="36"/>
          <w:szCs w:val="36"/>
        </w:rPr>
      </w:pPr>
      <w:r w:rsidRPr="004D525D">
        <w:rPr>
          <w:sz w:val="36"/>
          <w:szCs w:val="36"/>
        </w:rPr>
        <w:t xml:space="preserve">Baseline:  Consultation with DVR’s Financial Consultant and the Rehabilitation Services Administration (RSA) staff was initiated in January 2012 and continues in FY2014. </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3.4  Define</w:t>
      </w:r>
      <w:proofErr w:type="gramEnd"/>
      <w:r w:rsidRPr="004D525D">
        <w:rPr>
          <w:sz w:val="36"/>
          <w:szCs w:val="36"/>
        </w:rPr>
        <w:t xml:space="preserve"> and issue a Request for Proposal (RFP) for the Comprehensive Service Center.</w:t>
      </w:r>
    </w:p>
    <w:p w:rsidR="0090493F" w:rsidRPr="004D525D" w:rsidRDefault="0090493F" w:rsidP="0090493F">
      <w:pPr>
        <w:pStyle w:val="NormalWeb"/>
        <w:rPr>
          <w:sz w:val="36"/>
          <w:szCs w:val="36"/>
        </w:rPr>
      </w:pPr>
      <w:r w:rsidRPr="004D525D">
        <w:rPr>
          <w:sz w:val="36"/>
          <w:szCs w:val="36"/>
        </w:rPr>
        <w:t xml:space="preserve">Baseline:  Consultation with DVR’s Financial Consultant, contract and state procurement specialist to ensure the state regulations are correct, was initiated and continues in FY2014. </w:t>
      </w:r>
    </w:p>
    <w:p w:rsidR="0090493F" w:rsidRPr="004D525D" w:rsidRDefault="0090493F" w:rsidP="0090493F">
      <w:pPr>
        <w:pStyle w:val="NormalWeb"/>
        <w:rPr>
          <w:sz w:val="36"/>
          <w:szCs w:val="36"/>
        </w:rPr>
      </w:pPr>
      <w:r w:rsidRPr="004D525D">
        <w:rPr>
          <w:b/>
          <w:sz w:val="36"/>
          <w:szCs w:val="36"/>
        </w:rPr>
        <w:t>Priority 4:</w:t>
      </w:r>
      <w:r w:rsidRPr="004D525D">
        <w:rPr>
          <w:sz w:val="36"/>
          <w:szCs w:val="36"/>
        </w:rPr>
        <w:t xml:space="preserve">  To develop and implement a strategic plan to increase the job readiness, job placement and job retention resources for VR clients.</w:t>
      </w:r>
    </w:p>
    <w:p w:rsidR="0090493F" w:rsidRPr="004D525D" w:rsidRDefault="0090493F" w:rsidP="0090493F">
      <w:pPr>
        <w:pStyle w:val="NormalWeb"/>
        <w:rPr>
          <w:sz w:val="36"/>
          <w:szCs w:val="36"/>
        </w:rPr>
      </w:pPr>
      <w:r w:rsidRPr="004D525D">
        <w:rPr>
          <w:sz w:val="36"/>
          <w:szCs w:val="36"/>
        </w:rPr>
        <w:t>Baseline (Strategy):  On Oahu, we created a separate Employment Section with a Vocational Rehabilitation Specialist (VRS) Supervisor, one (1) Employment Specialist (ES), one (1) VRS counselor and six (6) temporary Community Service Specialists (CSS). At Services for the Blind Branch, Maui Branch and Kauai Branch, there is an Employment Specialist (ES) in each office. In addition we have established a statewide Benefits Planner resource.</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4.1  Increase</w:t>
      </w:r>
      <w:proofErr w:type="gramEnd"/>
      <w:r w:rsidRPr="004D525D">
        <w:rPr>
          <w:sz w:val="36"/>
          <w:szCs w:val="36"/>
        </w:rPr>
        <w:t xml:space="preserve"> the number of SSI and SSD consumers receiving benefits counseling.</w:t>
      </w:r>
    </w:p>
    <w:p w:rsidR="0090493F" w:rsidRPr="004D525D" w:rsidRDefault="0090493F" w:rsidP="0090493F">
      <w:pPr>
        <w:pStyle w:val="NormalWeb"/>
        <w:rPr>
          <w:sz w:val="36"/>
          <w:szCs w:val="36"/>
        </w:rPr>
      </w:pPr>
      <w:r w:rsidRPr="004D525D">
        <w:rPr>
          <w:sz w:val="36"/>
          <w:szCs w:val="36"/>
        </w:rPr>
        <w:t>Baseline:  In 2012, 55 SSI/SSDI consumers received benefits counseling</w:t>
      </w:r>
    </w:p>
    <w:p w:rsidR="0090493F" w:rsidRPr="004D525D" w:rsidRDefault="0090493F" w:rsidP="0090493F">
      <w:pPr>
        <w:pStyle w:val="NormalWeb"/>
        <w:rPr>
          <w:sz w:val="36"/>
          <w:szCs w:val="36"/>
        </w:rPr>
      </w:pPr>
      <w:r w:rsidRPr="004D525D">
        <w:rPr>
          <w:sz w:val="36"/>
          <w:szCs w:val="36"/>
        </w:rPr>
        <w:lastRenderedPageBreak/>
        <w:t xml:space="preserve">Goal </w:t>
      </w:r>
      <w:proofErr w:type="gramStart"/>
      <w:r w:rsidRPr="004D525D">
        <w:rPr>
          <w:sz w:val="36"/>
          <w:szCs w:val="36"/>
        </w:rPr>
        <w:t>4.2  Increase</w:t>
      </w:r>
      <w:proofErr w:type="gramEnd"/>
      <w:r w:rsidRPr="004D525D">
        <w:rPr>
          <w:sz w:val="36"/>
          <w:szCs w:val="36"/>
        </w:rPr>
        <w:t xml:space="preserve"> the number of clients receiving job readiness services.</w:t>
      </w:r>
    </w:p>
    <w:p w:rsidR="0090493F" w:rsidRPr="004D525D" w:rsidRDefault="0090493F" w:rsidP="0090493F">
      <w:pPr>
        <w:pStyle w:val="NormalWeb"/>
        <w:rPr>
          <w:sz w:val="36"/>
          <w:szCs w:val="36"/>
        </w:rPr>
      </w:pPr>
      <w:r w:rsidRPr="004D525D">
        <w:rPr>
          <w:sz w:val="36"/>
          <w:szCs w:val="36"/>
        </w:rPr>
        <w:t>Baseline:  In 2012, 273 clients received job readiness services.</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4.3  Increase</w:t>
      </w:r>
      <w:proofErr w:type="gramEnd"/>
      <w:r w:rsidRPr="004D525D">
        <w:rPr>
          <w:sz w:val="36"/>
          <w:szCs w:val="36"/>
        </w:rPr>
        <w:t xml:space="preserve"> the number of clients receiving job retention services.</w:t>
      </w:r>
    </w:p>
    <w:p w:rsidR="0090493F" w:rsidRPr="004D525D" w:rsidRDefault="0090493F" w:rsidP="0090493F">
      <w:pPr>
        <w:pStyle w:val="NormalWeb"/>
        <w:rPr>
          <w:sz w:val="36"/>
          <w:szCs w:val="36"/>
        </w:rPr>
      </w:pPr>
      <w:r w:rsidRPr="004D525D">
        <w:rPr>
          <w:sz w:val="36"/>
          <w:szCs w:val="36"/>
        </w:rPr>
        <w:t>Baseline:  In 2012, 98 clients received job retention services.</w:t>
      </w:r>
    </w:p>
    <w:p w:rsidR="0090493F" w:rsidRPr="004D525D" w:rsidRDefault="0090493F" w:rsidP="0090493F">
      <w:pPr>
        <w:pStyle w:val="NormalWeb"/>
        <w:rPr>
          <w:sz w:val="36"/>
          <w:szCs w:val="36"/>
        </w:rPr>
      </w:pPr>
      <w:r w:rsidRPr="004D525D">
        <w:rPr>
          <w:sz w:val="36"/>
          <w:szCs w:val="36"/>
        </w:rPr>
        <w:t xml:space="preserve">Goal </w:t>
      </w:r>
      <w:proofErr w:type="gramStart"/>
      <w:r w:rsidRPr="004D525D">
        <w:rPr>
          <w:sz w:val="36"/>
          <w:szCs w:val="36"/>
        </w:rPr>
        <w:t>4.4  Increase</w:t>
      </w:r>
      <w:proofErr w:type="gramEnd"/>
      <w:r w:rsidRPr="004D525D">
        <w:rPr>
          <w:sz w:val="36"/>
          <w:szCs w:val="36"/>
        </w:rPr>
        <w:t xml:space="preserve"> the number of relationships with Hawaii’s businesses.</w:t>
      </w:r>
    </w:p>
    <w:p w:rsidR="004D4EDA" w:rsidRDefault="0090493F" w:rsidP="0090493F">
      <w:r w:rsidRPr="004D525D">
        <w:rPr>
          <w:sz w:val="36"/>
          <w:szCs w:val="36"/>
        </w:rPr>
        <w:t>Baseline:  In 2012, we had 122 relationships with Hawaii’s businesses.</w:t>
      </w:r>
    </w:p>
    <w:sectPr w:rsidR="004D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7F8F"/>
    <w:multiLevelType w:val="multilevel"/>
    <w:tmpl w:val="B190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3F"/>
    <w:rsid w:val="004D4EDA"/>
    <w:rsid w:val="004F2904"/>
    <w:rsid w:val="0090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3F"/>
    <w:pPr>
      <w:spacing w:after="0" w:line="240" w:lineRule="auto"/>
    </w:pPr>
    <w:rPr>
      <w:rFonts w:ascii="Times New Roman" w:eastAsiaTheme="minorEastAsia" w:hAnsi="Times New Roman" w:cs="Times New Roman"/>
      <w:szCs w:val="24"/>
      <w:lang w:eastAsia="ja-JP"/>
    </w:rPr>
  </w:style>
  <w:style w:type="paragraph" w:styleId="Heading2">
    <w:name w:val="heading 2"/>
    <w:basedOn w:val="Normal"/>
    <w:link w:val="Heading2Char"/>
    <w:uiPriority w:val="9"/>
    <w:qFormat/>
    <w:rsid w:val="009049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93F"/>
    <w:rPr>
      <w:rFonts w:ascii="Times New Roman" w:eastAsiaTheme="minorEastAsia" w:hAnsi="Times New Roman" w:cs="Times New Roman"/>
      <w:b/>
      <w:bCs/>
      <w:sz w:val="36"/>
      <w:szCs w:val="36"/>
      <w:lang w:eastAsia="ja-JP"/>
    </w:rPr>
  </w:style>
  <w:style w:type="paragraph" w:styleId="NormalWeb">
    <w:name w:val="Normal (Web)"/>
    <w:basedOn w:val="Normal"/>
    <w:uiPriority w:val="99"/>
    <w:unhideWhenUsed/>
    <w:rsid w:val="009049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3F"/>
    <w:pPr>
      <w:spacing w:after="0" w:line="240" w:lineRule="auto"/>
    </w:pPr>
    <w:rPr>
      <w:rFonts w:ascii="Times New Roman" w:eastAsiaTheme="minorEastAsia" w:hAnsi="Times New Roman" w:cs="Times New Roman"/>
      <w:szCs w:val="24"/>
      <w:lang w:eastAsia="ja-JP"/>
    </w:rPr>
  </w:style>
  <w:style w:type="paragraph" w:styleId="Heading2">
    <w:name w:val="heading 2"/>
    <w:basedOn w:val="Normal"/>
    <w:link w:val="Heading2Char"/>
    <w:uiPriority w:val="9"/>
    <w:qFormat/>
    <w:rsid w:val="009049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93F"/>
    <w:rPr>
      <w:rFonts w:ascii="Times New Roman" w:eastAsiaTheme="minorEastAsia" w:hAnsi="Times New Roman" w:cs="Times New Roman"/>
      <w:b/>
      <w:bCs/>
      <w:sz w:val="36"/>
      <w:szCs w:val="36"/>
      <w:lang w:eastAsia="ja-JP"/>
    </w:rPr>
  </w:style>
  <w:style w:type="paragraph" w:styleId="NormalWeb">
    <w:name w:val="Normal (Web)"/>
    <w:basedOn w:val="Normal"/>
    <w:uiPriority w:val="99"/>
    <w:unhideWhenUsed/>
    <w:rsid w:val="009049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2013-11-13T01:19:00Z</dcterms:created>
  <dcterms:modified xsi:type="dcterms:W3CDTF">2013-11-13T01:22:00Z</dcterms:modified>
</cp:coreProperties>
</file>